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0FD" w:rsidRDefault="00547DBB" w:rsidP="00D450FD">
      <w:pPr>
        <w:pStyle w:val="Title"/>
        <w:rPr>
          <w:rStyle w:val="LabTitleInstVersred"/>
        </w:rPr>
      </w:pPr>
      <w:sdt>
        <w:sdtPr>
          <w:rPr>
            <w:b w:val="0"/>
            <w:color w:val="EE0000"/>
          </w:rPr>
          <w:alias w:val="Titre"/>
          <w:tag w:val=""/>
          <w:id w:val="-487021785"/>
          <w:placeholder>
            <w:docPart w:val="EE28A8FB305E43EA9FC9515C05CBCE69"/>
          </w:placeholder>
          <w:dataBinding w:prefixMappings="xmlns:ns0='http://purl.org/dc/elements/1.1/' xmlns:ns1='http://schemas.openxmlformats.org/package/2006/metadata/core-properties' " w:xpath="/ns1:coreProperties[1]/ns0:title[1]" w:storeItemID="{6C3C8BC8-F283-45AE-878A-BAB7291924A1}"/>
          <w:text/>
        </w:sdtPr>
        <w:sdtContent>
          <w:r w:rsidR="00C666D1">
            <w:t>Packet Tracer - Investiguer la prévention des boucles de STP</w:t>
          </w:r>
        </w:sdtContent>
      </w:sdt>
      <w:r w:rsidR="00C666D1">
        <w:rPr>
          <w:rStyle w:val="LabTitleInstVersred"/>
        </w:rPr>
        <w:t xml:space="preserve"> </w:t>
      </w:r>
    </w:p>
    <w:p w:rsidR="00D450FD" w:rsidRDefault="00D450FD" w:rsidP="00D450FD">
      <w:pPr>
        <w:pStyle w:val="Title"/>
        <w:rPr>
          <w:rStyle w:val="LabTitleInstVersred"/>
        </w:rPr>
      </w:pPr>
    </w:p>
    <w:p w:rsidR="00D778DF" w:rsidRPr="00D450FD" w:rsidRDefault="00D778DF" w:rsidP="00D450FD">
      <w:pPr>
        <w:pStyle w:val="Title"/>
        <w:rPr>
          <w:sz w:val="26"/>
          <w:szCs w:val="26"/>
        </w:rPr>
      </w:pPr>
      <w:r w:rsidRPr="00D450FD">
        <w:rPr>
          <w:sz w:val="26"/>
          <w:szCs w:val="26"/>
        </w:rPr>
        <w:t>Objectifs</w:t>
      </w:r>
    </w:p>
    <w:p w:rsidR="00E70096" w:rsidRPr="00E70096" w:rsidRDefault="00AE5BB1" w:rsidP="00E70096">
      <w:pPr>
        <w:pStyle w:val="BodyTextL25"/>
      </w:pPr>
      <w:r>
        <w:t>Dans ce TP, vous observerez les états du port spanning-tree et observerez le processus de convergence spanning-tree.</w:t>
      </w:r>
    </w:p>
    <w:p w:rsidR="00D778DF" w:rsidRPr="004C0909" w:rsidRDefault="004F7BD9" w:rsidP="00075EA9">
      <w:pPr>
        <w:pStyle w:val="Bulletlevel1"/>
      </w:pPr>
      <w:r>
        <w:t>Décrire le fonctionnement du protocole STP.</w:t>
      </w:r>
    </w:p>
    <w:p w:rsidR="00D778DF" w:rsidRDefault="004F7BD9" w:rsidP="00075EA9">
      <w:pPr>
        <w:pStyle w:val="Bulletlevel1"/>
      </w:pPr>
      <w:r>
        <w:t>Expliquez comment le protocole Spanning Tree empêche les boucles de commutation tout en permettant la redondance dans les réseaux commutés.</w:t>
      </w:r>
    </w:p>
    <w:p w:rsidR="00D778DF" w:rsidRDefault="00D778DF" w:rsidP="00D452F4">
      <w:pPr>
        <w:pStyle w:val="Heading1"/>
      </w:pPr>
      <w:r>
        <w:t>Contexte/scénario</w:t>
      </w:r>
    </w:p>
    <w:p w:rsidR="00D778DF" w:rsidRPr="00683036" w:rsidRDefault="004F7BD9" w:rsidP="00D778DF">
      <w:pPr>
        <w:pStyle w:val="BodyTextL25"/>
      </w:pPr>
      <w:r>
        <w:t>Dans cette activité, vous allez utiliser Packet Tracer pour observer le fonctionnement du protocole Spanning Tree dans un réseau commuté simple qui a des chemins redondants.</w:t>
      </w:r>
    </w:p>
    <w:p w:rsidR="00125806" w:rsidRDefault="00125806" w:rsidP="00D452F4">
      <w:pPr>
        <w:pStyle w:val="Heading1"/>
      </w:pPr>
      <w:r>
        <w:t>Instructions</w:t>
      </w:r>
    </w:p>
    <w:p w:rsidR="00D06107" w:rsidRDefault="00A01118" w:rsidP="00A01118">
      <w:pPr>
        <w:pStyle w:val="Heading2"/>
      </w:pPr>
      <w:r>
        <w:t>Observer une instance de spanning-tree convergée</w:t>
      </w:r>
    </w:p>
    <w:p w:rsidR="00D06107" w:rsidRDefault="00A01118" w:rsidP="00A01118">
      <w:pPr>
        <w:pStyle w:val="Heading3"/>
      </w:pPr>
      <w:r>
        <w:t>Vérifier la connectivité.</w:t>
      </w:r>
    </w:p>
    <w:p w:rsidR="00A01118" w:rsidRDefault="00A01118" w:rsidP="00A01118">
      <w:pPr>
        <w:pStyle w:val="BodyTextL25"/>
      </w:pPr>
      <w:r>
        <w:t>Ping de PC1 à PC2 pour vérifier la connectivité entre les hôtes. La requête ping devrait aboutir.</w:t>
      </w:r>
    </w:p>
    <w:p w:rsidR="00A01118" w:rsidRDefault="00A01118" w:rsidP="00A01118">
      <w:pPr>
        <w:pStyle w:val="Heading3"/>
      </w:pPr>
      <w:r>
        <w:t>Afficher l'état de la spanning-tree sur chaque commutateur.</w:t>
      </w:r>
    </w:p>
    <w:p w:rsidR="00A01118" w:rsidRDefault="00A01118" w:rsidP="00A01118">
      <w:pPr>
        <w:pStyle w:val="BodyTextL25"/>
      </w:pPr>
      <w:r>
        <w:t xml:space="preserve">Utilisez la commande </w:t>
      </w:r>
      <w:r>
        <w:rPr>
          <w:b/>
        </w:rPr>
        <w:t>show spanning-tree vlan 1</w:t>
      </w:r>
      <w:r>
        <w:t xml:space="preserve"> pour collecter des informations sur l'état de spanning tree de chaque commutateur. Complétez le tableau. Pour les besoins de l'activité, considérez uniquement les informations sur les ports de trunk Gigabit. Les ports Fast Ethernet sont des ports d'accès qui ont des périphériques finaux connectés et ne font pas partie du spanning tree basée sur les trunks inter-commutateurs.</w:t>
      </w:r>
    </w:p>
    <w:p w:rsidR="004756B5" w:rsidRDefault="004756B5" w:rsidP="004756B5">
      <w:pPr>
        <w:pStyle w:val="ConfigWindow"/>
      </w:pPr>
      <w:r>
        <w:t>Ouvrez la fenêtre de configuration.</w:t>
      </w:r>
    </w:p>
    <w:tbl>
      <w:tblPr>
        <w:tblStyle w:val="LabTableStyle"/>
        <w:tblW w:w="0" w:type="auto"/>
        <w:tblLook w:val="04A0"/>
      </w:tblPr>
      <w:tblGrid>
        <w:gridCol w:w="2275"/>
        <w:gridCol w:w="2275"/>
        <w:gridCol w:w="2275"/>
        <w:gridCol w:w="2275"/>
      </w:tblGrid>
      <w:tr w:rsidR="004B183D" w:rsidTr="00D0327C">
        <w:trPr>
          <w:cnfStyle w:val="100000000000"/>
          <w:tblHeader/>
        </w:trPr>
        <w:tc>
          <w:tcPr>
            <w:tcW w:w="2275" w:type="dxa"/>
          </w:tcPr>
          <w:p w:rsidR="00A01118" w:rsidRDefault="00A01118" w:rsidP="00A45BF9">
            <w:pPr>
              <w:pStyle w:val="TableHeading"/>
            </w:pPr>
            <w:r>
              <w:t>Commutateur</w:t>
            </w:r>
          </w:p>
        </w:tc>
        <w:tc>
          <w:tcPr>
            <w:tcW w:w="2275" w:type="dxa"/>
          </w:tcPr>
          <w:p w:rsidR="00A01118" w:rsidRDefault="00A01118" w:rsidP="00A45BF9">
            <w:pPr>
              <w:pStyle w:val="TableHeading"/>
            </w:pPr>
            <w:r>
              <w:t>Port</w:t>
            </w:r>
          </w:p>
        </w:tc>
        <w:tc>
          <w:tcPr>
            <w:tcW w:w="2275" w:type="dxa"/>
          </w:tcPr>
          <w:p w:rsidR="00A01118" w:rsidRDefault="00A01118" w:rsidP="00A45BF9">
            <w:pPr>
              <w:pStyle w:val="TableHeading"/>
            </w:pPr>
            <w:r>
              <w:t>État (FWD, BLK...)</w:t>
            </w:r>
          </w:p>
        </w:tc>
        <w:tc>
          <w:tcPr>
            <w:tcW w:w="2275" w:type="dxa"/>
          </w:tcPr>
          <w:p w:rsidR="00A01118" w:rsidRDefault="00A01118" w:rsidP="00A45BF9">
            <w:pPr>
              <w:pStyle w:val="TableHeading"/>
            </w:pPr>
            <w:r>
              <w:t>Pont racine?</w:t>
            </w:r>
          </w:p>
        </w:tc>
      </w:tr>
      <w:tr w:rsidR="00A45BF9" w:rsidTr="00D0327C">
        <w:tc>
          <w:tcPr>
            <w:tcW w:w="2275" w:type="dxa"/>
            <w:tcBorders>
              <w:bottom w:val="nil"/>
            </w:tcBorders>
          </w:tcPr>
          <w:p w:rsidR="00A01118" w:rsidRDefault="00A01118" w:rsidP="00A45BF9">
            <w:pPr>
              <w:pStyle w:val="TableText"/>
            </w:pPr>
            <w:r>
              <w:t>S1</w:t>
            </w:r>
          </w:p>
        </w:tc>
        <w:tc>
          <w:tcPr>
            <w:tcW w:w="2275" w:type="dxa"/>
          </w:tcPr>
          <w:p w:rsidR="00A01118" w:rsidRDefault="00A45BF9" w:rsidP="00A45BF9">
            <w:pPr>
              <w:pStyle w:val="TableText"/>
            </w:pPr>
            <w:r>
              <w:t>G0/1</w:t>
            </w:r>
          </w:p>
        </w:tc>
        <w:tc>
          <w:tcPr>
            <w:tcW w:w="2275" w:type="dxa"/>
          </w:tcPr>
          <w:p w:rsidR="00A01118" w:rsidRPr="00E10CB1" w:rsidRDefault="00A01118" w:rsidP="00A45BF9">
            <w:pPr>
              <w:pStyle w:val="TableText"/>
              <w:rPr>
                <w:rStyle w:val="AnswerGray"/>
              </w:rPr>
            </w:pPr>
          </w:p>
        </w:tc>
        <w:tc>
          <w:tcPr>
            <w:tcW w:w="2275" w:type="dxa"/>
          </w:tcPr>
          <w:p w:rsidR="00A01118" w:rsidRPr="00E10CB1" w:rsidRDefault="00A01118" w:rsidP="00A45BF9">
            <w:pPr>
              <w:pStyle w:val="TableText"/>
              <w:rPr>
                <w:rStyle w:val="AnswerGray"/>
              </w:rPr>
            </w:pPr>
          </w:p>
        </w:tc>
      </w:tr>
      <w:tr w:rsidR="00717C0E" w:rsidTr="00D0327C">
        <w:tc>
          <w:tcPr>
            <w:tcW w:w="2275" w:type="dxa"/>
            <w:tcBorders>
              <w:top w:val="nil"/>
              <w:bottom w:val="single" w:sz="2" w:space="0" w:color="auto"/>
            </w:tcBorders>
          </w:tcPr>
          <w:p w:rsidR="00717C0E" w:rsidRPr="004B183D" w:rsidRDefault="00717C0E" w:rsidP="0022293E">
            <w:pPr>
              <w:pStyle w:val="ConfigWindow"/>
            </w:pPr>
            <w:r>
              <w:t>S1</w:t>
            </w:r>
          </w:p>
        </w:tc>
        <w:tc>
          <w:tcPr>
            <w:tcW w:w="2275" w:type="dxa"/>
          </w:tcPr>
          <w:p w:rsidR="00717C0E" w:rsidRDefault="00717C0E" w:rsidP="00717C0E">
            <w:pPr>
              <w:pStyle w:val="TableText"/>
            </w:pPr>
            <w:r>
              <w:t>G0/2</w:t>
            </w:r>
          </w:p>
        </w:tc>
        <w:tc>
          <w:tcPr>
            <w:tcW w:w="2275" w:type="dxa"/>
          </w:tcPr>
          <w:p w:rsidR="00717C0E" w:rsidRPr="00E10CB1" w:rsidRDefault="00717C0E" w:rsidP="00717C0E">
            <w:pPr>
              <w:pStyle w:val="TableText"/>
              <w:rPr>
                <w:rStyle w:val="AnswerGray"/>
              </w:rPr>
            </w:pPr>
          </w:p>
        </w:tc>
        <w:tc>
          <w:tcPr>
            <w:tcW w:w="2275" w:type="dxa"/>
          </w:tcPr>
          <w:p w:rsidR="00717C0E" w:rsidRPr="00E10CB1" w:rsidRDefault="00717C0E" w:rsidP="00717C0E">
            <w:pPr>
              <w:pStyle w:val="TableText"/>
              <w:rPr>
                <w:rStyle w:val="AnswerGray"/>
              </w:rPr>
            </w:pPr>
          </w:p>
        </w:tc>
      </w:tr>
      <w:tr w:rsidR="00A45BF9" w:rsidTr="00D0327C">
        <w:tc>
          <w:tcPr>
            <w:tcW w:w="2275" w:type="dxa"/>
            <w:tcBorders>
              <w:bottom w:val="nil"/>
            </w:tcBorders>
          </w:tcPr>
          <w:p w:rsidR="00A45BF9" w:rsidRDefault="00A45BF9" w:rsidP="00A45BF9">
            <w:pPr>
              <w:pStyle w:val="TableText"/>
            </w:pPr>
            <w:r>
              <w:t>S2</w:t>
            </w:r>
          </w:p>
        </w:tc>
        <w:tc>
          <w:tcPr>
            <w:tcW w:w="2275" w:type="dxa"/>
          </w:tcPr>
          <w:p w:rsidR="00A45BF9" w:rsidRDefault="00A45BF9" w:rsidP="00A45BF9">
            <w:pPr>
              <w:pStyle w:val="TableText"/>
            </w:pPr>
            <w:r>
              <w:t>G0/1</w:t>
            </w:r>
          </w:p>
        </w:tc>
        <w:tc>
          <w:tcPr>
            <w:tcW w:w="2275" w:type="dxa"/>
          </w:tcPr>
          <w:p w:rsidR="00A45BF9" w:rsidRPr="00E10CB1" w:rsidRDefault="00A45BF9" w:rsidP="00A45BF9">
            <w:pPr>
              <w:pStyle w:val="TableText"/>
              <w:rPr>
                <w:rStyle w:val="AnswerGray"/>
              </w:rPr>
            </w:pPr>
          </w:p>
        </w:tc>
        <w:tc>
          <w:tcPr>
            <w:tcW w:w="2275" w:type="dxa"/>
          </w:tcPr>
          <w:p w:rsidR="00A45BF9" w:rsidRPr="00E10CB1" w:rsidRDefault="00A45BF9" w:rsidP="00A45BF9">
            <w:pPr>
              <w:pStyle w:val="TableText"/>
              <w:rPr>
                <w:rStyle w:val="AnswerGray"/>
              </w:rPr>
            </w:pPr>
          </w:p>
        </w:tc>
      </w:tr>
      <w:tr w:rsidR="00A45BF9" w:rsidTr="00D0327C">
        <w:tc>
          <w:tcPr>
            <w:tcW w:w="2275" w:type="dxa"/>
            <w:tcBorders>
              <w:top w:val="nil"/>
              <w:bottom w:val="single" w:sz="2" w:space="0" w:color="auto"/>
            </w:tcBorders>
          </w:tcPr>
          <w:p w:rsidR="00A45BF9" w:rsidRPr="004B183D" w:rsidRDefault="004B183D" w:rsidP="00D0327C">
            <w:pPr>
              <w:pStyle w:val="ConfigWindow"/>
            </w:pPr>
            <w:r>
              <w:t>S2</w:t>
            </w:r>
          </w:p>
        </w:tc>
        <w:tc>
          <w:tcPr>
            <w:tcW w:w="2275" w:type="dxa"/>
          </w:tcPr>
          <w:p w:rsidR="00A45BF9" w:rsidRDefault="00A45BF9" w:rsidP="00A45BF9">
            <w:pPr>
              <w:pStyle w:val="TableText"/>
            </w:pPr>
            <w:r>
              <w:t>G0/2</w:t>
            </w:r>
          </w:p>
        </w:tc>
        <w:tc>
          <w:tcPr>
            <w:tcW w:w="2275" w:type="dxa"/>
          </w:tcPr>
          <w:p w:rsidR="00A45BF9" w:rsidRPr="00E10CB1" w:rsidRDefault="00A45BF9" w:rsidP="00A45BF9">
            <w:pPr>
              <w:pStyle w:val="TableText"/>
              <w:rPr>
                <w:rStyle w:val="AnswerGray"/>
              </w:rPr>
            </w:pPr>
          </w:p>
        </w:tc>
        <w:tc>
          <w:tcPr>
            <w:tcW w:w="2275" w:type="dxa"/>
          </w:tcPr>
          <w:p w:rsidR="00A45BF9" w:rsidRPr="00E10CB1" w:rsidRDefault="00A45BF9" w:rsidP="00A45BF9">
            <w:pPr>
              <w:pStyle w:val="TableText"/>
              <w:rPr>
                <w:rStyle w:val="AnswerGray"/>
              </w:rPr>
            </w:pPr>
          </w:p>
        </w:tc>
      </w:tr>
      <w:tr w:rsidR="00717C0E" w:rsidTr="00D0327C">
        <w:tc>
          <w:tcPr>
            <w:tcW w:w="2275" w:type="dxa"/>
            <w:tcBorders>
              <w:bottom w:val="nil"/>
            </w:tcBorders>
          </w:tcPr>
          <w:p w:rsidR="00717C0E" w:rsidRDefault="00717C0E" w:rsidP="00717C0E">
            <w:pPr>
              <w:pStyle w:val="TableText"/>
            </w:pPr>
            <w:r>
              <w:t>S3</w:t>
            </w:r>
          </w:p>
        </w:tc>
        <w:tc>
          <w:tcPr>
            <w:tcW w:w="2275" w:type="dxa"/>
          </w:tcPr>
          <w:p w:rsidR="00717C0E" w:rsidRDefault="00717C0E" w:rsidP="00717C0E">
            <w:pPr>
              <w:pStyle w:val="TableText"/>
            </w:pPr>
            <w:r>
              <w:t>G0/1</w:t>
            </w:r>
          </w:p>
        </w:tc>
        <w:tc>
          <w:tcPr>
            <w:tcW w:w="2275" w:type="dxa"/>
          </w:tcPr>
          <w:p w:rsidR="00717C0E" w:rsidRPr="00E10CB1" w:rsidRDefault="00717C0E" w:rsidP="00717C0E">
            <w:pPr>
              <w:pStyle w:val="TableText"/>
              <w:rPr>
                <w:rStyle w:val="AnswerGray"/>
              </w:rPr>
            </w:pPr>
          </w:p>
        </w:tc>
        <w:tc>
          <w:tcPr>
            <w:tcW w:w="2275" w:type="dxa"/>
          </w:tcPr>
          <w:p w:rsidR="00717C0E" w:rsidRPr="00E10CB1" w:rsidRDefault="00717C0E" w:rsidP="00717C0E">
            <w:pPr>
              <w:pStyle w:val="TableText"/>
              <w:rPr>
                <w:rStyle w:val="AnswerGray"/>
              </w:rPr>
            </w:pPr>
          </w:p>
        </w:tc>
      </w:tr>
      <w:tr w:rsidR="00717C0E" w:rsidTr="00D0327C">
        <w:tc>
          <w:tcPr>
            <w:tcW w:w="2275" w:type="dxa"/>
            <w:tcBorders>
              <w:top w:val="nil"/>
            </w:tcBorders>
          </w:tcPr>
          <w:p w:rsidR="00717C0E" w:rsidRPr="004B183D" w:rsidRDefault="00717C0E" w:rsidP="00D0327C">
            <w:pPr>
              <w:pStyle w:val="ConfigWindow"/>
            </w:pPr>
            <w:r>
              <w:t>S3</w:t>
            </w:r>
          </w:p>
        </w:tc>
        <w:tc>
          <w:tcPr>
            <w:tcW w:w="2275" w:type="dxa"/>
          </w:tcPr>
          <w:p w:rsidR="00717C0E" w:rsidRDefault="00717C0E" w:rsidP="00717C0E">
            <w:pPr>
              <w:pStyle w:val="TableText"/>
            </w:pPr>
            <w:r>
              <w:t>G0/2</w:t>
            </w:r>
          </w:p>
        </w:tc>
        <w:tc>
          <w:tcPr>
            <w:tcW w:w="2275" w:type="dxa"/>
          </w:tcPr>
          <w:p w:rsidR="00717C0E" w:rsidRPr="00E10CB1" w:rsidRDefault="00717C0E" w:rsidP="00717C0E">
            <w:pPr>
              <w:pStyle w:val="TableText"/>
              <w:rPr>
                <w:rStyle w:val="AnswerGray"/>
              </w:rPr>
            </w:pPr>
          </w:p>
        </w:tc>
        <w:tc>
          <w:tcPr>
            <w:tcW w:w="2275" w:type="dxa"/>
          </w:tcPr>
          <w:p w:rsidR="00717C0E" w:rsidRPr="00E10CB1" w:rsidRDefault="00717C0E" w:rsidP="00717C0E">
            <w:pPr>
              <w:pStyle w:val="TableText"/>
              <w:rPr>
                <w:rStyle w:val="AnswerGray"/>
              </w:rPr>
            </w:pPr>
          </w:p>
        </w:tc>
      </w:tr>
    </w:tbl>
    <w:p w:rsidR="006225C5" w:rsidRDefault="00593DAA" w:rsidP="00B034A2">
      <w:pPr>
        <w:pStyle w:val="BodyTextL25"/>
        <w:spacing w:after="0"/>
      </w:pPr>
      <w:r>
        <w:t>Packet Tracer utilise un voyant de liaison différent sur l'une des connexions entre les commutateurs.</w:t>
      </w:r>
    </w:p>
    <w:p w:rsidR="006225C5" w:rsidRDefault="006225C5" w:rsidP="0022293E">
      <w:pPr>
        <w:pStyle w:val="Heading4"/>
      </w:pPr>
      <w:r>
        <w:t>Questions :</w:t>
      </w:r>
    </w:p>
    <w:p w:rsidR="00E154A7" w:rsidRDefault="00593DAA" w:rsidP="00E154A7">
      <w:pPr>
        <w:pStyle w:val="BodyTextL25"/>
        <w:spacing w:before="0"/>
      </w:pPr>
      <w:r>
        <w:t>Que pensez-vous que cette lumière de lien signifie ?</w:t>
      </w:r>
    </w:p>
    <w:p w:rsidR="00E10CB1" w:rsidRDefault="00E154A7" w:rsidP="0022293E">
      <w:pPr>
        <w:pStyle w:val="AnswerLineL25"/>
      </w:pPr>
      <w:r>
        <w:t>Saisissez vos réponses ici</w:t>
      </w:r>
    </w:p>
    <w:p w:rsidR="00E10CB1" w:rsidRDefault="00593DAA" w:rsidP="004F7BD9">
      <w:pPr>
        <w:pStyle w:val="BodyTextL25"/>
      </w:pPr>
      <w:r>
        <w:t xml:space="preserve">Quel chemin les trames prendront de PC1 à PC2 ? </w:t>
      </w:r>
    </w:p>
    <w:p w:rsidR="00E10CB1" w:rsidRDefault="00593DAA" w:rsidP="004C04ED">
      <w:pPr>
        <w:pStyle w:val="BodyTextL25"/>
      </w:pPr>
      <w:r>
        <w:lastRenderedPageBreak/>
        <w:t xml:space="preserve">Pourquoi les trames ne passent-elles pas par S3 ? </w:t>
      </w:r>
    </w:p>
    <w:p w:rsidR="00A5761D" w:rsidRDefault="00A5761D" w:rsidP="00A5761D">
      <w:pPr>
        <w:pStyle w:val="BodyTextL25"/>
      </w:pPr>
      <w:r>
        <w:t xml:space="preserve">Pourquoi </w:t>
      </w:r>
      <w:proofErr w:type="spellStart"/>
      <w:r>
        <w:t>spanning</w:t>
      </w:r>
      <w:proofErr w:type="spellEnd"/>
      <w:r>
        <w:t xml:space="preserve"> </w:t>
      </w:r>
      <w:proofErr w:type="spellStart"/>
      <w:r>
        <w:t>tree</w:t>
      </w:r>
      <w:proofErr w:type="spellEnd"/>
      <w:r>
        <w:t xml:space="preserve"> a-t-il placé un port en état de blocage ?</w:t>
      </w:r>
    </w:p>
    <w:p w:rsidR="004756B5" w:rsidRPr="004756B5" w:rsidRDefault="004756B5" w:rsidP="004756B5">
      <w:pPr>
        <w:pStyle w:val="ConfigWindow"/>
      </w:pPr>
      <w:r>
        <w:t>Fermez la fenêtre de configuration.</w:t>
      </w:r>
    </w:p>
    <w:p w:rsidR="00394A1C" w:rsidRDefault="00451143" w:rsidP="004756B5">
      <w:pPr>
        <w:pStyle w:val="Heading2"/>
        <w:spacing w:before="120"/>
      </w:pPr>
      <w:r>
        <w:t>Observer la convergence de spanning-tree</w:t>
      </w:r>
    </w:p>
    <w:p w:rsidR="00451143" w:rsidRDefault="00451143" w:rsidP="00451143">
      <w:pPr>
        <w:pStyle w:val="Heading3"/>
      </w:pPr>
      <w:r>
        <w:t>Retirer la connexion entre S1 et S2.</w:t>
      </w:r>
    </w:p>
    <w:p w:rsidR="00451143" w:rsidRDefault="00451143" w:rsidP="004756B5">
      <w:pPr>
        <w:pStyle w:val="SubStepAlpha"/>
        <w:spacing w:after="0"/>
      </w:pPr>
      <w:r>
        <w:t xml:space="preserve">Ouvrez une fenêtre CLI sur le commutateur S3 et exécutez la commande </w:t>
      </w:r>
      <w:r>
        <w:rPr>
          <w:b/>
        </w:rPr>
        <w:t>show spanning-tree vlan 1</w:t>
      </w:r>
      <w:r>
        <w:t>. Laissez la fenêtre CLI ouverte.</w:t>
      </w:r>
    </w:p>
    <w:p w:rsidR="004756B5" w:rsidRPr="00451143" w:rsidRDefault="004756B5" w:rsidP="004756B5">
      <w:pPr>
        <w:pStyle w:val="ConfigWindow"/>
      </w:pPr>
      <w:r>
        <w:t>Ouvrez la fenêtre de configuration.</w:t>
      </w:r>
    </w:p>
    <w:p w:rsidR="00451143" w:rsidRDefault="0067229A" w:rsidP="00451143">
      <w:pPr>
        <w:pStyle w:val="SubStepAlpha"/>
      </w:pPr>
      <w:r>
        <w:t>Sélectionnez l'outil de suppression dans la barre de menus et cliquez sur le câble qui relie S1 et S2.</w:t>
      </w:r>
    </w:p>
    <w:p w:rsidR="00451143" w:rsidRDefault="00451143" w:rsidP="00451143">
      <w:pPr>
        <w:pStyle w:val="Heading3"/>
      </w:pPr>
      <w:r>
        <w:t>Observer la convergence de spanning-tree.</w:t>
      </w:r>
    </w:p>
    <w:p w:rsidR="00451143" w:rsidRDefault="00451143" w:rsidP="00451143">
      <w:pPr>
        <w:pStyle w:val="SubStepAlpha"/>
      </w:pPr>
      <w:r>
        <w:t xml:space="preserve">Revenez rapidement à l'invite CLI sur le commutateur S3 et exécutez la commande </w:t>
      </w:r>
      <w:r>
        <w:rPr>
          <w:b/>
        </w:rPr>
        <w:t>show spanning-tree vlan 1</w:t>
      </w:r>
      <w:r>
        <w:t xml:space="preserve"> .</w:t>
      </w:r>
    </w:p>
    <w:p w:rsidR="0067229A" w:rsidRDefault="0067229A" w:rsidP="00B034A2">
      <w:pPr>
        <w:pStyle w:val="SubStepAlpha"/>
        <w:spacing w:after="0"/>
      </w:pPr>
      <w:r>
        <w:t xml:space="preserve">Utilisez la touche flèche vers le haut pour rappeler la commande </w:t>
      </w:r>
      <w:r>
        <w:rPr>
          <w:b/>
        </w:rPr>
        <w:t>show spanning-tree vlan 1</w:t>
      </w:r>
      <w:r>
        <w:t xml:space="preserve"> et émettez-la à plusieurs reprises jusqu'à ce que le voyant orange du câble devienne vert. Observez l'état du port G0/2.</w:t>
      </w:r>
    </w:p>
    <w:p w:rsidR="00E154A7" w:rsidRDefault="00E154A7" w:rsidP="0022293E">
      <w:pPr>
        <w:pStyle w:val="Heading4"/>
      </w:pPr>
      <w:r>
        <w:t>Question :</w:t>
      </w:r>
    </w:p>
    <w:p w:rsidR="00E154A7" w:rsidRDefault="0067229A" w:rsidP="0022293E">
      <w:pPr>
        <w:pStyle w:val="BodyTextL50"/>
        <w:spacing w:before="0"/>
      </w:pPr>
      <w:r>
        <w:t>Que pensez-vous qu'il deviendra le statut du port G0/2 au cours de ce processus ?</w:t>
      </w:r>
    </w:p>
    <w:p w:rsidR="0067229A" w:rsidRPr="0067229A" w:rsidRDefault="0067229A" w:rsidP="0067229A">
      <w:pPr>
        <w:pStyle w:val="BodyTextL50"/>
      </w:pPr>
      <w:r>
        <w:t>Vous avez observé la transition de l'état du port qui se produit au fur et à mesure qu'un port spanning-tree passe de l'état de blocage à l'état de transfert.</w:t>
      </w:r>
    </w:p>
    <w:p w:rsidR="005B4B8E" w:rsidRDefault="0067229A" w:rsidP="0067229A">
      <w:pPr>
        <w:pStyle w:val="SubStepAlpha"/>
      </w:pPr>
      <w:r>
        <w:t>Vérifiez la connectivité en pingant de PC1 vers PC2. Votre ping doit être réussi.</w:t>
      </w:r>
    </w:p>
    <w:p w:rsidR="00E154A7" w:rsidRDefault="0067229A" w:rsidP="0067229A">
      <w:pPr>
        <w:pStyle w:val="BodyTextL50"/>
      </w:pPr>
      <w:r>
        <w:t>Y a-t-il des ports affichant un voyant de liaison orange indiquant que le port est dans un état spanning-tree autre que le transfert ? Les élèves doivent justifier la réponse.</w:t>
      </w:r>
    </w:p>
    <w:p w:rsidR="00E154A7" w:rsidRPr="0022293E" w:rsidRDefault="00E154A7" w:rsidP="0022293E">
      <w:pPr>
        <w:pStyle w:val="ConfigWindow"/>
      </w:pPr>
    </w:p>
    <w:sectPr w:rsidR="00E154A7" w:rsidRPr="0022293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688" w:rsidRDefault="002F6688" w:rsidP="00710659">
      <w:pPr>
        <w:spacing w:after="0" w:line="240" w:lineRule="auto"/>
      </w:pPr>
      <w:r>
        <w:separator/>
      </w:r>
    </w:p>
    <w:p w:rsidR="002F6688" w:rsidRDefault="002F6688"/>
  </w:endnote>
  <w:endnote w:type="continuationSeparator" w:id="0">
    <w:p w:rsidR="002F6688" w:rsidRDefault="002F6688" w:rsidP="00710659">
      <w:pPr>
        <w:spacing w:after="0" w:line="240" w:lineRule="auto"/>
      </w:pPr>
      <w:r>
        <w:continuationSeparator/>
      </w:r>
    </w:p>
    <w:p w:rsidR="002F6688" w:rsidRDefault="002F6688"/>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547DBB">
      <w:fldChar w:fldCharType="begin"/>
    </w:r>
    <w:r>
      <w:instrText xml:space="preserve"> SAVEDATE  \@ "aaaa"  \* MERGEFORMAT </w:instrText>
    </w:r>
    <w:r w:rsidR="00547DBB">
      <w:fldChar w:fldCharType="separate"/>
    </w:r>
    <w:r w:rsidR="00D450FD">
      <w:rPr>
        <w:noProof/>
      </w:rPr>
      <w:t>aa</w:t>
    </w:r>
    <w:r w:rsidR="00547DBB">
      <w:fldChar w:fldCharType="end"/>
    </w:r>
    <w:r>
      <w:t xml:space="preserve"> Cisco et/ou ses filiales. Tous droits réservés. Document public de Cisco</w:t>
    </w:r>
    <w:r>
      <w:tab/>
      <w:t xml:space="preserve">Page </w:t>
    </w:r>
    <w:r w:rsidR="00547DBB" w:rsidRPr="0090659A">
      <w:rPr>
        <w:b/>
        <w:szCs w:val="16"/>
      </w:rPr>
      <w:fldChar w:fldCharType="begin"/>
    </w:r>
    <w:r w:rsidRPr="0090659A">
      <w:rPr>
        <w:b/>
        <w:szCs w:val="16"/>
      </w:rPr>
      <w:instrText xml:space="preserve"> PAGE </w:instrText>
    </w:r>
    <w:r w:rsidR="00547DBB" w:rsidRPr="0090659A">
      <w:rPr>
        <w:b/>
        <w:szCs w:val="16"/>
      </w:rPr>
      <w:fldChar w:fldCharType="separate"/>
    </w:r>
    <w:r w:rsidR="00D450FD">
      <w:rPr>
        <w:b/>
        <w:noProof/>
        <w:szCs w:val="16"/>
      </w:rPr>
      <w:t>2</w:t>
    </w:r>
    <w:r w:rsidR="00547DBB" w:rsidRPr="0090659A">
      <w:rPr>
        <w:b/>
        <w:szCs w:val="16"/>
      </w:rPr>
      <w:fldChar w:fldCharType="end"/>
    </w:r>
    <w:r>
      <w:t xml:space="preserve"> sur </w:t>
    </w:r>
    <w:r w:rsidR="00547DBB" w:rsidRPr="0090659A">
      <w:rPr>
        <w:b/>
        <w:szCs w:val="16"/>
      </w:rPr>
      <w:fldChar w:fldCharType="begin"/>
    </w:r>
    <w:r w:rsidRPr="0090659A">
      <w:rPr>
        <w:b/>
        <w:szCs w:val="16"/>
      </w:rPr>
      <w:instrText xml:space="preserve"> NUMPAGES  </w:instrText>
    </w:r>
    <w:r w:rsidR="00547DBB" w:rsidRPr="0090659A">
      <w:rPr>
        <w:b/>
        <w:szCs w:val="16"/>
      </w:rPr>
      <w:fldChar w:fldCharType="separate"/>
    </w:r>
    <w:r w:rsidR="00D450FD">
      <w:rPr>
        <w:b/>
        <w:noProof/>
        <w:szCs w:val="16"/>
      </w:rPr>
      <w:t>2</w:t>
    </w:r>
    <w:r w:rsidR="00547DBB"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547DBB">
      <w:fldChar w:fldCharType="begin"/>
    </w:r>
    <w:r w:rsidR="007E6402">
      <w:instrText xml:space="preserve"> SAVEDATE  \@ "aaaa"  \* MERGEFORMAT </w:instrText>
    </w:r>
    <w:r w:rsidR="00547DBB">
      <w:fldChar w:fldCharType="separate"/>
    </w:r>
    <w:r w:rsidR="00D450FD">
      <w:rPr>
        <w:noProof/>
      </w:rPr>
      <w:t>aa</w:t>
    </w:r>
    <w:r w:rsidR="00547DBB">
      <w:fldChar w:fldCharType="end"/>
    </w:r>
    <w:r>
      <w:t xml:space="preserve"> Cisco et/ou ses filiales. Tous droits réservés. Document public de Cisco</w:t>
    </w:r>
    <w:r>
      <w:tab/>
      <w:t xml:space="preserve">Page </w:t>
    </w:r>
    <w:r w:rsidR="00547DBB" w:rsidRPr="0090659A">
      <w:rPr>
        <w:b/>
        <w:szCs w:val="16"/>
      </w:rPr>
      <w:fldChar w:fldCharType="begin"/>
    </w:r>
    <w:r w:rsidRPr="0090659A">
      <w:rPr>
        <w:b/>
        <w:szCs w:val="16"/>
      </w:rPr>
      <w:instrText xml:space="preserve"> PAGE </w:instrText>
    </w:r>
    <w:r w:rsidR="00547DBB" w:rsidRPr="0090659A">
      <w:rPr>
        <w:b/>
        <w:szCs w:val="16"/>
      </w:rPr>
      <w:fldChar w:fldCharType="separate"/>
    </w:r>
    <w:r w:rsidR="00D450FD">
      <w:rPr>
        <w:b/>
        <w:noProof/>
        <w:szCs w:val="16"/>
      </w:rPr>
      <w:t>1</w:t>
    </w:r>
    <w:r w:rsidR="00547DBB" w:rsidRPr="0090659A">
      <w:rPr>
        <w:b/>
        <w:szCs w:val="16"/>
      </w:rPr>
      <w:fldChar w:fldCharType="end"/>
    </w:r>
    <w:r>
      <w:t xml:space="preserve"> sur </w:t>
    </w:r>
    <w:r w:rsidR="00547DBB" w:rsidRPr="0090659A">
      <w:rPr>
        <w:b/>
        <w:szCs w:val="16"/>
      </w:rPr>
      <w:fldChar w:fldCharType="begin"/>
    </w:r>
    <w:r w:rsidRPr="0090659A">
      <w:rPr>
        <w:b/>
        <w:szCs w:val="16"/>
      </w:rPr>
      <w:instrText xml:space="preserve"> NUMPAGES  </w:instrText>
    </w:r>
    <w:r w:rsidR="00547DBB" w:rsidRPr="0090659A">
      <w:rPr>
        <w:b/>
        <w:szCs w:val="16"/>
      </w:rPr>
      <w:fldChar w:fldCharType="separate"/>
    </w:r>
    <w:r w:rsidR="00D450FD">
      <w:rPr>
        <w:b/>
        <w:noProof/>
        <w:szCs w:val="16"/>
      </w:rPr>
      <w:t>2</w:t>
    </w:r>
    <w:r w:rsidR="00547DBB"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688" w:rsidRDefault="002F6688" w:rsidP="00710659">
      <w:pPr>
        <w:spacing w:after="0" w:line="240" w:lineRule="auto"/>
      </w:pPr>
      <w:r>
        <w:separator/>
      </w:r>
    </w:p>
    <w:p w:rsidR="002F6688" w:rsidRDefault="002F6688"/>
  </w:footnote>
  <w:footnote w:type="continuationSeparator" w:id="0">
    <w:p w:rsidR="002F6688" w:rsidRDefault="002F6688" w:rsidP="00710659">
      <w:pPr>
        <w:spacing w:after="0" w:line="240" w:lineRule="auto"/>
      </w:pPr>
      <w:r>
        <w:continuationSeparator/>
      </w:r>
    </w:p>
    <w:p w:rsidR="002F6688" w:rsidRDefault="002F668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EE28A8FB305E43EA9FC9515C05CBCE69"/>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22691F" w:rsidP="008402F2">
        <w:pPr>
          <w:pStyle w:val="PageHead"/>
        </w:pPr>
        <w:r>
          <w:t>Packet Tracer - Investiguer la prévention des boucles de STP</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U1srSwMDA2NjY1MDdX0lEKTi0uzszPAykwrAUAJjzcNCwAAAA="/>
  </w:docVars>
  <w:rsids>
    <w:rsidRoot w:val="0022691F"/>
    <w:rsid w:val="00001BDF"/>
    <w:rsid w:val="0000380F"/>
    <w:rsid w:val="00004175"/>
    <w:rsid w:val="000059C9"/>
    <w:rsid w:val="00012C22"/>
    <w:rsid w:val="000160F7"/>
    <w:rsid w:val="00016D5B"/>
    <w:rsid w:val="00016F30"/>
    <w:rsid w:val="0002047C"/>
    <w:rsid w:val="00021B9A"/>
    <w:rsid w:val="000242D6"/>
    <w:rsid w:val="00024EE5"/>
    <w:rsid w:val="00025E1F"/>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A7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119"/>
    <w:rsid w:val="001A2694"/>
    <w:rsid w:val="001A3CC7"/>
    <w:rsid w:val="001A67A4"/>
    <w:rsid w:val="001A69AC"/>
    <w:rsid w:val="001B67D8"/>
    <w:rsid w:val="001B6F95"/>
    <w:rsid w:val="001C05A1"/>
    <w:rsid w:val="001C1D9E"/>
    <w:rsid w:val="001C5998"/>
    <w:rsid w:val="001C6DB2"/>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293E"/>
    <w:rsid w:val="002240AB"/>
    <w:rsid w:val="00225E37"/>
    <w:rsid w:val="0022691F"/>
    <w:rsid w:val="00231DCA"/>
    <w:rsid w:val="00235792"/>
    <w:rsid w:val="00242E3A"/>
    <w:rsid w:val="00246492"/>
    <w:rsid w:val="002506CF"/>
    <w:rsid w:val="0025107F"/>
    <w:rsid w:val="00260CD4"/>
    <w:rsid w:val="002639D8"/>
    <w:rsid w:val="00265F77"/>
    <w:rsid w:val="00266C83"/>
    <w:rsid w:val="0027037A"/>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69BB"/>
    <w:rsid w:val="002F45FF"/>
    <w:rsid w:val="002F6688"/>
    <w:rsid w:val="002F66D3"/>
    <w:rsid w:val="002F6D17"/>
    <w:rsid w:val="002F791C"/>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4A1C"/>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3E6"/>
    <w:rsid w:val="003E17CA"/>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628"/>
    <w:rsid w:val="004478F4"/>
    <w:rsid w:val="00450F7A"/>
    <w:rsid w:val="00451143"/>
    <w:rsid w:val="00452C6D"/>
    <w:rsid w:val="00455E0B"/>
    <w:rsid w:val="0045724D"/>
    <w:rsid w:val="00457934"/>
    <w:rsid w:val="00462B9F"/>
    <w:rsid w:val="004659EE"/>
    <w:rsid w:val="00473E34"/>
    <w:rsid w:val="004756B5"/>
    <w:rsid w:val="00476BA9"/>
    <w:rsid w:val="00481650"/>
    <w:rsid w:val="004936C2"/>
    <w:rsid w:val="0049379C"/>
    <w:rsid w:val="004952A0"/>
    <w:rsid w:val="004A00DE"/>
    <w:rsid w:val="004A1CA0"/>
    <w:rsid w:val="004A22E9"/>
    <w:rsid w:val="004A4ACD"/>
    <w:rsid w:val="004A506C"/>
    <w:rsid w:val="004A5BC5"/>
    <w:rsid w:val="004B023D"/>
    <w:rsid w:val="004B183D"/>
    <w:rsid w:val="004C04ED"/>
    <w:rsid w:val="004C0909"/>
    <w:rsid w:val="004C3F97"/>
    <w:rsid w:val="004D01F2"/>
    <w:rsid w:val="004D2CED"/>
    <w:rsid w:val="004D3339"/>
    <w:rsid w:val="004D353F"/>
    <w:rsid w:val="004D36D7"/>
    <w:rsid w:val="004D682B"/>
    <w:rsid w:val="004E6152"/>
    <w:rsid w:val="004F344A"/>
    <w:rsid w:val="004F4EC3"/>
    <w:rsid w:val="004F7BD9"/>
    <w:rsid w:val="00504ED4"/>
    <w:rsid w:val="00510639"/>
    <w:rsid w:val="00511791"/>
    <w:rsid w:val="005139BE"/>
    <w:rsid w:val="00516142"/>
    <w:rsid w:val="0051681C"/>
    <w:rsid w:val="00520027"/>
    <w:rsid w:val="0052093C"/>
    <w:rsid w:val="00521B31"/>
    <w:rsid w:val="00522469"/>
    <w:rsid w:val="0052400A"/>
    <w:rsid w:val="00536277"/>
    <w:rsid w:val="00536F43"/>
    <w:rsid w:val="00547DBB"/>
    <w:rsid w:val="005510BA"/>
    <w:rsid w:val="005538C8"/>
    <w:rsid w:val="00554B4E"/>
    <w:rsid w:val="00556C02"/>
    <w:rsid w:val="00561BB2"/>
    <w:rsid w:val="00563249"/>
    <w:rsid w:val="00570A65"/>
    <w:rsid w:val="005762B1"/>
    <w:rsid w:val="00580456"/>
    <w:rsid w:val="00580E73"/>
    <w:rsid w:val="00592329"/>
    <w:rsid w:val="00593386"/>
    <w:rsid w:val="00593DAA"/>
    <w:rsid w:val="00596998"/>
    <w:rsid w:val="0059790F"/>
    <w:rsid w:val="005A6E62"/>
    <w:rsid w:val="005B2FB3"/>
    <w:rsid w:val="005B46D2"/>
    <w:rsid w:val="005B4B8E"/>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5C5"/>
    <w:rsid w:val="00622D61"/>
    <w:rsid w:val="00624198"/>
    <w:rsid w:val="00636C28"/>
    <w:rsid w:val="006428E5"/>
    <w:rsid w:val="00644958"/>
    <w:rsid w:val="006513FB"/>
    <w:rsid w:val="00656EEF"/>
    <w:rsid w:val="006576AF"/>
    <w:rsid w:val="0067229A"/>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7C0E"/>
    <w:rsid w:val="00721E01"/>
    <w:rsid w:val="007222AD"/>
    <w:rsid w:val="007267CF"/>
    <w:rsid w:val="00731F3F"/>
    <w:rsid w:val="007332EE"/>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1DD5"/>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7244E"/>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118"/>
    <w:rsid w:val="00A014A3"/>
    <w:rsid w:val="00A027CC"/>
    <w:rsid w:val="00A0412D"/>
    <w:rsid w:val="00A15DF0"/>
    <w:rsid w:val="00A21211"/>
    <w:rsid w:val="00A27703"/>
    <w:rsid w:val="00A30F8A"/>
    <w:rsid w:val="00A33890"/>
    <w:rsid w:val="00A34E7F"/>
    <w:rsid w:val="00A45BF9"/>
    <w:rsid w:val="00A46F0A"/>
    <w:rsid w:val="00A46F25"/>
    <w:rsid w:val="00A47CC2"/>
    <w:rsid w:val="00A502BA"/>
    <w:rsid w:val="00A5761D"/>
    <w:rsid w:val="00A60146"/>
    <w:rsid w:val="00A601A9"/>
    <w:rsid w:val="00A60F6F"/>
    <w:rsid w:val="00A622C4"/>
    <w:rsid w:val="00A6283D"/>
    <w:rsid w:val="00A676FF"/>
    <w:rsid w:val="00A73EBA"/>
    <w:rsid w:val="00A754B4"/>
    <w:rsid w:val="00A76665"/>
    <w:rsid w:val="00A76749"/>
    <w:rsid w:val="00A77820"/>
    <w:rsid w:val="00A807C1"/>
    <w:rsid w:val="00A82658"/>
    <w:rsid w:val="00A83374"/>
    <w:rsid w:val="00A96172"/>
    <w:rsid w:val="00A96D52"/>
    <w:rsid w:val="00A97C5F"/>
    <w:rsid w:val="00AB0D6A"/>
    <w:rsid w:val="00AB30A7"/>
    <w:rsid w:val="00AB43B3"/>
    <w:rsid w:val="00AB49B9"/>
    <w:rsid w:val="00AB501D"/>
    <w:rsid w:val="00AB758A"/>
    <w:rsid w:val="00AC027E"/>
    <w:rsid w:val="00AC05AB"/>
    <w:rsid w:val="00AC1E7E"/>
    <w:rsid w:val="00AC507D"/>
    <w:rsid w:val="00AC66E4"/>
    <w:rsid w:val="00AD04F2"/>
    <w:rsid w:val="00AD4578"/>
    <w:rsid w:val="00AD68E9"/>
    <w:rsid w:val="00AE56C0"/>
    <w:rsid w:val="00AE5BB1"/>
    <w:rsid w:val="00AF16EA"/>
    <w:rsid w:val="00AF7ACC"/>
    <w:rsid w:val="00B00914"/>
    <w:rsid w:val="00B02A8E"/>
    <w:rsid w:val="00B034A2"/>
    <w:rsid w:val="00B052EE"/>
    <w:rsid w:val="00B1081F"/>
    <w:rsid w:val="00B2496B"/>
    <w:rsid w:val="00B27499"/>
    <w:rsid w:val="00B3010D"/>
    <w:rsid w:val="00B35151"/>
    <w:rsid w:val="00B433F2"/>
    <w:rsid w:val="00B44820"/>
    <w:rsid w:val="00B458E8"/>
    <w:rsid w:val="00B5397B"/>
    <w:rsid w:val="00B53EE9"/>
    <w:rsid w:val="00B61295"/>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1833"/>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66D1"/>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0C9A"/>
    <w:rsid w:val="00CD40B1"/>
    <w:rsid w:val="00CD7F73"/>
    <w:rsid w:val="00CE0E22"/>
    <w:rsid w:val="00CE26C5"/>
    <w:rsid w:val="00CE36AF"/>
    <w:rsid w:val="00CE47F3"/>
    <w:rsid w:val="00CE54DD"/>
    <w:rsid w:val="00CF0DA5"/>
    <w:rsid w:val="00CF5D31"/>
    <w:rsid w:val="00CF5F3B"/>
    <w:rsid w:val="00CF7733"/>
    <w:rsid w:val="00CF791A"/>
    <w:rsid w:val="00D00513"/>
    <w:rsid w:val="00D00D7D"/>
    <w:rsid w:val="00D030AE"/>
    <w:rsid w:val="00D0327C"/>
    <w:rsid w:val="00D06107"/>
    <w:rsid w:val="00D139C8"/>
    <w:rsid w:val="00D17F81"/>
    <w:rsid w:val="00D2758C"/>
    <w:rsid w:val="00D275CA"/>
    <w:rsid w:val="00D2789B"/>
    <w:rsid w:val="00D345AB"/>
    <w:rsid w:val="00D41566"/>
    <w:rsid w:val="00D450FD"/>
    <w:rsid w:val="00D452E5"/>
    <w:rsid w:val="00D452F4"/>
    <w:rsid w:val="00D458EC"/>
    <w:rsid w:val="00D501B0"/>
    <w:rsid w:val="00D52582"/>
    <w:rsid w:val="00D56A0E"/>
    <w:rsid w:val="00D57AD3"/>
    <w:rsid w:val="00D62F25"/>
    <w:rsid w:val="00D635FE"/>
    <w:rsid w:val="00D66A7B"/>
    <w:rsid w:val="00D71DBF"/>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0CB1"/>
    <w:rsid w:val="00E11A48"/>
    <w:rsid w:val="00E130EB"/>
    <w:rsid w:val="00E154A7"/>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770E1"/>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01C"/>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154A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4756B5"/>
    <w:pPr>
      <w:keepNext/>
      <w:numPr>
        <w:ilvl w:val="1"/>
        <w:numId w:val="5"/>
      </w:numPr>
      <w:spacing w:before="24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034A2"/>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4756B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452E5"/>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034A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034A2"/>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wlc\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28A8FB305E43EA9FC9515C05CBCE69"/>
        <w:category>
          <w:name w:val="General"/>
          <w:gallery w:val="placeholder"/>
        </w:category>
        <w:types>
          <w:type w:val="bbPlcHdr"/>
        </w:types>
        <w:behaviors>
          <w:behavior w:val="content"/>
        </w:behaviors>
        <w:guid w:val="{2FD65F1F-4624-428E-969F-2E6E7432D701}"/>
      </w:docPartPr>
      <w:docPartBody>
        <w:p w:rsidR="00871E96" w:rsidRDefault="00BA502A">
          <w:pPr>
            <w:pStyle w:val="EE28A8FB305E43EA9FC9515C05CBCE69"/>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502A"/>
    <w:rsid w:val="00031734"/>
    <w:rsid w:val="0014469F"/>
    <w:rsid w:val="00660A99"/>
    <w:rsid w:val="00871372"/>
    <w:rsid w:val="00871E96"/>
    <w:rsid w:val="009D2DB1"/>
    <w:rsid w:val="00BA4268"/>
    <w:rsid w:val="00BA502A"/>
    <w:rsid w:val="00F51F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2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4268"/>
    <w:rPr>
      <w:color w:val="808080"/>
    </w:rPr>
  </w:style>
  <w:style w:type="paragraph" w:customStyle="1" w:styleId="EE28A8FB305E43EA9FC9515C05CBCE69">
    <w:name w:val="EE28A8FB305E43EA9FC9515C05CBCE69"/>
    <w:rsid w:val="00BA4268"/>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A477D-BA8C-43FD-82CC-61B0E6BE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31</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Packet Tracer - Investigate STP Loop Prevention</vt:lpstr>
    </vt:vector>
  </TitlesOfParts>
  <Company>Cisco Systems, Inc.</Company>
  <LinksUpToDate>false</LinksUpToDate>
  <CharactersWithSpaces>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Investiguer la prévention des boucles de STP</dc:title>
  <dc:creator>Martin Benson</dc:creator>
  <cp:keywords/>
  <dc:description>2019</dc:description>
  <cp:lastModifiedBy>Dawlat</cp:lastModifiedBy>
  <cp:revision>12</cp:revision>
  <cp:lastPrinted>2019-10-22T18:46:00Z</cp:lastPrinted>
  <dcterms:created xsi:type="dcterms:W3CDTF">2019-10-22T18:31:00Z</dcterms:created>
  <dcterms:modified xsi:type="dcterms:W3CDTF">2020-08-07T19:31:00Z</dcterms:modified>
</cp:coreProperties>
</file>